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5061" w:rsidTr="00045061">
        <w:tc>
          <w:tcPr>
            <w:tcW w:w="8644" w:type="dxa"/>
          </w:tcPr>
          <w:p w:rsidR="00045061" w:rsidRPr="00045061" w:rsidRDefault="00045061" w:rsidP="00045061">
            <w:pPr>
              <w:rPr>
                <w:b/>
              </w:rPr>
            </w:pPr>
            <w:r w:rsidRPr="00045061">
              <w:rPr>
                <w:b/>
              </w:rPr>
              <w:t>TABELA 1. Critérios de Enxaqueca sem aura de acordo com a Classificação Internacional das Cefaleias 3° Edição – 2014</w:t>
            </w:r>
          </w:p>
        </w:tc>
      </w:tr>
      <w:tr w:rsidR="00045061" w:rsidTr="00045061">
        <w:tc>
          <w:tcPr>
            <w:tcW w:w="8644" w:type="dxa"/>
          </w:tcPr>
          <w:p w:rsidR="00045061" w:rsidRPr="00045061" w:rsidRDefault="00045061" w:rsidP="00045061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Pelo menos cinco episódios preenchendo os critérios B-D</w:t>
            </w:r>
          </w:p>
        </w:tc>
      </w:tr>
      <w:tr w:rsidR="00045061" w:rsidTr="00045061">
        <w:tc>
          <w:tcPr>
            <w:tcW w:w="8644" w:type="dxa"/>
          </w:tcPr>
          <w:p w:rsidR="00045061" w:rsidRDefault="00045061" w:rsidP="00045061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</w:pPr>
            <w:r w:rsidRPr="000A31AD">
              <w:rPr>
                <w:rFonts w:cs="Arial"/>
              </w:rPr>
              <w:t>Episódios de dor de cabeça que duram de 4-72h (não tratados ou tratados sem sucesso)</w:t>
            </w:r>
          </w:p>
        </w:tc>
      </w:tr>
      <w:tr w:rsidR="00045061" w:rsidTr="00045061">
        <w:tc>
          <w:tcPr>
            <w:tcW w:w="8644" w:type="dxa"/>
          </w:tcPr>
          <w:p w:rsidR="00045061" w:rsidRDefault="00045061" w:rsidP="00045061">
            <w:pPr>
              <w:pStyle w:val="PargrafodaLista"/>
              <w:numPr>
                <w:ilvl w:val="0"/>
                <w:numId w:val="1"/>
              </w:numPr>
            </w:pPr>
            <w:r w:rsidRPr="00045061">
              <w:t xml:space="preserve">A cefaleia </w:t>
            </w:r>
            <w:proofErr w:type="spellStart"/>
            <w:proofErr w:type="gramStart"/>
            <w:r w:rsidRPr="00045061">
              <w:t>tem,</w:t>
            </w:r>
            <w:proofErr w:type="gramEnd"/>
            <w:r w:rsidRPr="00045061">
              <w:t>pelo</w:t>
            </w:r>
            <w:proofErr w:type="spellEnd"/>
            <w:r w:rsidRPr="00045061">
              <w:t xml:space="preserve"> menos, duas das quatro características seguintes: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Localização unilateral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Pulsátil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Intensidade moderada ou grave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proofErr w:type="spellStart"/>
            <w:r w:rsidRPr="000A31AD">
              <w:rPr>
                <w:rFonts w:cs="Arial"/>
              </w:rPr>
              <w:t>Agravamentopor</w:t>
            </w:r>
            <w:proofErr w:type="spellEnd"/>
            <w:r w:rsidRPr="000A31AD">
              <w:rPr>
                <w:rFonts w:cs="Arial"/>
              </w:rPr>
              <w:t xml:space="preserve"> atividade física rotineira (ex. andar ou subir escadas)</w:t>
            </w:r>
          </w:p>
          <w:p w:rsidR="00045061" w:rsidRDefault="00045061" w:rsidP="00045061">
            <w:pPr>
              <w:pStyle w:val="PargrafodaLista"/>
            </w:pPr>
          </w:p>
        </w:tc>
      </w:tr>
      <w:tr w:rsidR="00045061" w:rsidTr="00045061">
        <w:tc>
          <w:tcPr>
            <w:tcW w:w="8644" w:type="dxa"/>
          </w:tcPr>
          <w:p w:rsidR="00045061" w:rsidRDefault="00045061" w:rsidP="00045061">
            <w:pPr>
              <w:pStyle w:val="PargrafodaLista"/>
              <w:numPr>
                <w:ilvl w:val="0"/>
                <w:numId w:val="1"/>
              </w:numPr>
            </w:pPr>
            <w:r w:rsidRPr="00045061">
              <w:t>Durante a cefaleia um dos seguintes:</w:t>
            </w:r>
            <w:r>
              <w:t xml:space="preserve"> 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Náuseas e/ou vômitos</w:t>
            </w:r>
          </w:p>
          <w:p w:rsidR="00045061" w:rsidRPr="000A31AD" w:rsidRDefault="00045061" w:rsidP="00045061">
            <w:pPr>
              <w:numPr>
                <w:ilvl w:val="2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Fonofobia e fotofobia</w:t>
            </w:r>
          </w:p>
          <w:p w:rsidR="00045061" w:rsidRDefault="00045061" w:rsidP="00045061">
            <w:pPr>
              <w:pStyle w:val="PargrafodaLista"/>
            </w:pPr>
          </w:p>
        </w:tc>
      </w:tr>
      <w:tr w:rsidR="00045061" w:rsidTr="00045061">
        <w:tc>
          <w:tcPr>
            <w:tcW w:w="8644" w:type="dxa"/>
          </w:tcPr>
          <w:p w:rsidR="00045061" w:rsidRPr="000A31AD" w:rsidRDefault="00045061" w:rsidP="00045061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cs="Arial"/>
              </w:rPr>
            </w:pPr>
            <w:r w:rsidRPr="000A31AD">
              <w:rPr>
                <w:rFonts w:cs="Arial"/>
              </w:rPr>
              <w:t>Não melhor explicada por outro diagnóstico da ICHD -</w:t>
            </w:r>
            <w:proofErr w:type="gramStart"/>
            <w:r w:rsidRPr="000A31AD">
              <w:rPr>
                <w:rFonts w:cs="Arial"/>
              </w:rPr>
              <w:t>3 beta</w:t>
            </w:r>
            <w:proofErr w:type="gramEnd"/>
            <w:r w:rsidRPr="000A31AD">
              <w:rPr>
                <w:rFonts w:cs="Arial"/>
              </w:rPr>
              <w:t>.</w:t>
            </w:r>
          </w:p>
          <w:p w:rsidR="00045061" w:rsidRDefault="00045061" w:rsidP="00045061">
            <w:pPr>
              <w:pStyle w:val="PargrafodaLista"/>
            </w:pPr>
          </w:p>
        </w:tc>
      </w:tr>
    </w:tbl>
    <w:p w:rsidR="00045061" w:rsidRDefault="00045061" w:rsidP="00045061">
      <w:pPr>
        <w:jc w:val="both"/>
      </w:pPr>
      <w:r>
        <w:t xml:space="preserve"> </w:t>
      </w:r>
      <w:r>
        <w:t xml:space="preserve">Notas </w:t>
      </w:r>
    </w:p>
    <w:p w:rsidR="00045061" w:rsidRDefault="00045061" w:rsidP="00045061">
      <w:pPr>
        <w:jc w:val="both"/>
      </w:pPr>
      <w:r>
        <w:t xml:space="preserve">1 - Um ou poucos episódios de enxaqueca podem ser difíceis de distinguir de episódios sintomáticos de outros tipos de </w:t>
      </w:r>
      <w:proofErr w:type="spellStart"/>
      <w:r>
        <w:t>cefaléia</w:t>
      </w:r>
      <w:proofErr w:type="spellEnd"/>
      <w:r>
        <w:t xml:space="preserve">. Portanto pelo menos cinco episódios são obrigatórios. Indivíduos que satisfazem os outros critérios para </w:t>
      </w:r>
      <w:proofErr w:type="gramStart"/>
      <w:r>
        <w:t>1.1 Enxaqueca</w:t>
      </w:r>
      <w:proofErr w:type="gramEnd"/>
      <w:r>
        <w:t xml:space="preserve"> sem aura, mas que tiveram menos de cinco episódios devem ser codificados como 1.5.1 Provável enxaqueca sem aura.</w:t>
      </w:r>
      <w:bookmarkStart w:id="0" w:name="_GoBack"/>
      <w:bookmarkEnd w:id="0"/>
    </w:p>
    <w:p w:rsidR="00045061" w:rsidRDefault="00045061" w:rsidP="00045061">
      <w:pPr>
        <w:jc w:val="both"/>
      </w:pPr>
      <w:r>
        <w:t xml:space="preserve">2 </w:t>
      </w:r>
      <w:proofErr w:type="gramStart"/>
      <w:r>
        <w:t>–Quando</w:t>
      </w:r>
      <w:proofErr w:type="gramEnd"/>
      <w:r>
        <w:t xml:space="preserve"> o doente dorme durante uma crise de enxaqueca e acorda sem ela, a duração do episódio é contada até ao despertar.</w:t>
      </w:r>
    </w:p>
    <w:p w:rsidR="008E5FA5" w:rsidRDefault="00045061" w:rsidP="00045061">
      <w:pPr>
        <w:jc w:val="both"/>
      </w:pPr>
      <w:r>
        <w:t>3 - Em crianças e adolescentes (antes dos 18 anos) os episódios podem durar de 2 a 72horas.</w:t>
      </w:r>
    </w:p>
    <w:sectPr w:rsidR="008E5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71"/>
    <w:multiLevelType w:val="hybridMultilevel"/>
    <w:tmpl w:val="F8708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1A9B"/>
    <w:multiLevelType w:val="hybridMultilevel"/>
    <w:tmpl w:val="9E14CFD4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46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61"/>
    <w:rsid w:val="00045061"/>
    <w:rsid w:val="008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Máriton .</dc:creator>
  <cp:lastModifiedBy>Máriton .</cp:lastModifiedBy>
  <cp:revision>1</cp:revision>
  <dcterms:created xsi:type="dcterms:W3CDTF">2018-06-12T23:34:00Z</dcterms:created>
  <dcterms:modified xsi:type="dcterms:W3CDTF">2018-06-12T23:47:00Z</dcterms:modified>
</cp:coreProperties>
</file>